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44D2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[ </w:t>
      </w:r>
      <w:r w:rsidR="00A237C7"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Expéditeur :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 nom, institution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/organisation,</w:t>
      </w:r>
    </w:p>
    <w:p w14:paraId="3A7D1E1B" w14:textId="77777777" w:rsidR="00BB4EAC" w:rsidRPr="00A237C7" w:rsidRDefault="00A237C7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papier en-tête de l’organisation si possible</w:t>
      </w:r>
    </w:p>
    <w:p w14:paraId="6CF8C846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Adress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e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, 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pays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]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  <w:t xml:space="preserve">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[date                ]</w:t>
      </w:r>
    </w:p>
    <w:p w14:paraId="1F2816CC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5FFF6334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638DAC96" w14:textId="77777777" w:rsidR="00BB4EAC" w:rsidRPr="00A237C7" w:rsidRDefault="00AC5E5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Direction Générale de la Commission Européenne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 </w:t>
      </w:r>
    </w:p>
    <w:p w14:paraId="4D22E982" w14:textId="77777777" w:rsidR="00BB4EAC" w:rsidRPr="00A237C7" w:rsidRDefault="00EC266F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Unité 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SANTE E.4 – </w:t>
      </w:r>
    </w:p>
    <w:p w14:paraId="4F64F319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Pesticides 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et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Biocides F101 05/068 </w:t>
      </w:r>
    </w:p>
    <w:p w14:paraId="6ECEDBDF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1049 Bru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xelles</w:t>
      </w:r>
    </w:p>
    <w:p w14:paraId="10D5F965" w14:textId="77777777" w:rsidR="00BB4EAC" w:rsidRPr="00A237C7" w:rsidRDefault="00BB4EAC" w:rsidP="00BB4EAC">
      <w:pPr>
        <w:pStyle w:val="Heading1"/>
        <w:spacing w:before="0"/>
        <w:rPr>
          <w:rFonts w:cstheme="majorHAnsi"/>
          <w:sz w:val="22"/>
          <w:szCs w:val="22"/>
          <w:lang w:val="fr-FR"/>
        </w:rPr>
      </w:pPr>
      <w:r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Belgi</w:t>
      </w:r>
      <w:r w:rsidR="00EC266F"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que</w:t>
      </w:r>
    </w:p>
    <w:p w14:paraId="7BCD4312" w14:textId="77777777" w:rsidR="00BB4EAC" w:rsidRPr="00A237C7" w:rsidRDefault="00BB4EAC" w:rsidP="00BB4EAC">
      <w:pPr>
        <w:pStyle w:val="Heading2"/>
        <w:rPr>
          <w:b/>
          <w:lang w:val="fr-FR"/>
        </w:rPr>
      </w:pPr>
    </w:p>
    <w:p w14:paraId="0C931043" w14:textId="77777777" w:rsidR="00EC266F" w:rsidRPr="00A237C7" w:rsidRDefault="00EC266F" w:rsidP="00281153">
      <w:pPr>
        <w:pStyle w:val="Heading2"/>
        <w:jc w:val="both"/>
        <w:rPr>
          <w:b/>
          <w:lang w:val="fr-FR"/>
        </w:rPr>
      </w:pPr>
      <w:r>
        <w:rPr>
          <w:b/>
          <w:lang w:val="fr-FR"/>
        </w:rPr>
        <w:t xml:space="preserve">Recours </w:t>
      </w:r>
      <w:r w:rsidRPr="00A237C7">
        <w:rPr>
          <w:b/>
          <w:lang w:val="fr-FR"/>
        </w:rPr>
        <w:t>pour les collections du patrimoine culturel : Permettre une dérogation à l'interdiction de l'azote</w:t>
      </w:r>
      <w:r>
        <w:rPr>
          <w:b/>
          <w:lang w:val="fr-FR"/>
        </w:rPr>
        <w:t xml:space="preserve"> </w:t>
      </w:r>
      <w:r w:rsidRPr="00A237C7">
        <w:rPr>
          <w:b/>
          <w:lang w:val="fr-FR"/>
        </w:rPr>
        <w:t>(EU 528/2012)</w:t>
      </w:r>
    </w:p>
    <w:p w14:paraId="00E3A499" w14:textId="77777777" w:rsidR="00EC266F" w:rsidRPr="00281153" w:rsidRDefault="00EC266F" w:rsidP="00281153">
      <w:pPr>
        <w:pStyle w:val="Heading2"/>
        <w:jc w:val="both"/>
        <w:rPr>
          <w:rFonts w:eastAsiaTheme="minorHAnsi" w:cstheme="majorHAnsi"/>
          <w:color w:val="auto"/>
          <w:sz w:val="24"/>
          <w:szCs w:val="24"/>
          <w:lang w:val="fr-FR"/>
        </w:rPr>
      </w:pPr>
    </w:p>
    <w:p w14:paraId="382E3549" w14:textId="77777777" w:rsidR="00EC266F" w:rsidRPr="00A237C7" w:rsidRDefault="00EC266F" w:rsidP="00281153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Les institutions de mémoire, les musées et les monuments sont fréquemment menacés par des espèces nuisibles en raison de diverses formes de contamination et des conditions climatiques changeantes.</w:t>
      </w:r>
    </w:p>
    <w:p w14:paraId="5FBEF1BC" w14:textId="77777777" w:rsidR="00EC266F" w:rsidRPr="00A237C7" w:rsidRDefault="00EC266F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L'une des méthodes les plus polyvalentes et les plus respectueuses de l'environnement, évitant l'utilisation de produits chimiques dangereux, à des fins de désinfection est l'</w:t>
      </w:r>
      <w:r>
        <w:rPr>
          <w:rFonts w:asciiTheme="majorHAnsi" w:hAnsiTheme="majorHAnsi" w:cstheme="majorHAnsi"/>
          <w:sz w:val="24"/>
          <w:szCs w:val="24"/>
          <w:lang w:val="fr-FR"/>
        </w:rPr>
        <w:t> « 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anoxie</w:t>
      </w:r>
      <w:r>
        <w:rPr>
          <w:rFonts w:asciiTheme="majorHAnsi" w:hAnsiTheme="majorHAnsi" w:cstheme="majorHAnsi"/>
          <w:sz w:val="24"/>
          <w:szCs w:val="24"/>
          <w:lang w:val="fr-FR"/>
        </w:rPr>
        <w:t> »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ou les atmosphères contrôlées à très faible teneur en oxygène dans des chambres de traitement où </w:t>
      </w: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>l'azote est généré in situ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pour la désinfestation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anti-insecte par l’anoxie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des objets du patrimoine culturel.</w:t>
      </w:r>
    </w:p>
    <w:p w14:paraId="3B4C91CA" w14:textId="77777777" w:rsidR="00430A8E" w:rsidRPr="00281153" w:rsidRDefault="00430A8E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0381B9B8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u w:val="single"/>
          <w:lang w:val="fr-FR"/>
        </w:rPr>
        <w:t>La question de la législation de l'UE</w:t>
      </w:r>
    </w:p>
    <w:p w14:paraId="22BE7853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Depuis l'enregistrement obligatoire de l'utilisation de l'azote à des fins de désinfection par le règlement UE 528/2012 sur les produits biocides en septembre 2017, une seule méthode d'utilisation de l'azote (ainsi que plusieurs autres restrictions) a été reconnue et incluse : l'azote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stockée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sous forme de bidons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. L'azote produit in situ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n’est plus autorisée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. L'interdiction de l'azote n'est pas justifiée pour des raisons de santé et de préjudice économique pour le marché des acteurs européens de la lutte intégrée contre les ravageurs (IPM).</w:t>
      </w:r>
    </w:p>
    <w:p w14:paraId="001ACFA3" w14:textId="77777777" w:rsidR="00EC266F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1F9C5EA2" w14:textId="77777777" w:rsidR="00CE3F22" w:rsidRPr="00A237C7" w:rsidRDefault="00CE3F22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En raison de cette lacune juridique, les installations d'anoxie existantes en Europe ne peuvent plus être exploitées légalement. En conséquence, les institutions du patrimoine culturel sont confrontées à un grave danger de dommages ou de pertes irrémédiables.</w:t>
      </w:r>
    </w:p>
    <w:p w14:paraId="4CE72C18" w14:textId="77777777" w:rsidR="00CE3F22" w:rsidRPr="00A237C7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B936245" w14:textId="77777777" w:rsidR="00CE3F22" w:rsidRPr="00A237C7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>J'invite donc instamment la Commission à autoriser une dérogation au titre de l'article 55, paragraphe 3, dans le RPB, aux États membres qui en font la demande,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>du fait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que cette méthode permet de traiter toute matière en toute sécurité, contrairement aux autres méthodes. L'azote produit in situ est inoffensif, l'alternative la plus économique et la plus écologique à l'utilisation actuellement autorisée de l'azote à cette fin.</w:t>
      </w:r>
    </w:p>
    <w:p w14:paraId="402DCAD5" w14:textId="77777777" w:rsidR="00CE3F22" w:rsidRPr="00CE3F22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37CB1815" w14:textId="77777777" w:rsidR="00430A8E" w:rsidRPr="00A237C7" w:rsidRDefault="00A237C7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Je reste d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ans l’attente de votre réponse sur cette question</w:t>
      </w:r>
      <w:r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0567BB25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bookmarkStart w:id="0" w:name="_GoBack"/>
      <w:bookmarkEnd w:id="0"/>
    </w:p>
    <w:p w14:paraId="778321ED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CB976BB" w14:textId="77777777" w:rsidR="00A237C7" w:rsidRDefault="00A237C7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Cordialement</w:t>
      </w:r>
      <w:proofErr w:type="spellEnd"/>
    </w:p>
    <w:p w14:paraId="720CEB07" w14:textId="77777777" w:rsidR="00156D9C" w:rsidRPr="00BB4EAC" w:rsidRDefault="00BB4EAC" w:rsidP="00A237C7">
      <w:pPr>
        <w:spacing w:after="0"/>
        <w:jc w:val="both"/>
        <w:rPr>
          <w:rFonts w:asciiTheme="majorHAnsi" w:hAnsiTheme="majorHAnsi" w:cstheme="majorHAnsi"/>
          <w:lang w:val="en-US"/>
        </w:rPr>
      </w:pP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[  </w:t>
      </w:r>
      <w:r w:rsidR="00A237C7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nom</w:t>
      </w:r>
      <w:r w:rsidR="00A237C7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      </w:t>
      </w: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]</w:t>
      </w:r>
    </w:p>
    <w:sectPr w:rsidR="00156D9C" w:rsidRPr="00BB4EAC" w:rsidSect="00A237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8E"/>
    <w:rsid w:val="00110037"/>
    <w:rsid w:val="00156D9C"/>
    <w:rsid w:val="002337D3"/>
    <w:rsid w:val="00234C0C"/>
    <w:rsid w:val="00281153"/>
    <w:rsid w:val="003B0717"/>
    <w:rsid w:val="00430A8E"/>
    <w:rsid w:val="004C73FC"/>
    <w:rsid w:val="00844F80"/>
    <w:rsid w:val="00A237C7"/>
    <w:rsid w:val="00A93016"/>
    <w:rsid w:val="00AC5E59"/>
    <w:rsid w:val="00BB4EAC"/>
    <w:rsid w:val="00CE3F22"/>
    <w:rsid w:val="00D23DD9"/>
    <w:rsid w:val="00DA0965"/>
    <w:rsid w:val="00DC22EF"/>
    <w:rsid w:val="00E47530"/>
    <w:rsid w:val="00EC266F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3D"/>
  <w15:docId w15:val="{485DD7A7-8CB0-444C-81AC-17B5E9E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8E"/>
  </w:style>
  <w:style w:type="paragraph" w:styleId="Heading1">
    <w:name w:val="heading 1"/>
    <w:basedOn w:val="Normal"/>
    <w:next w:val="Normal"/>
    <w:link w:val="Heading1Char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4</DocSecurity>
  <Lines>58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Susanne POVERLEIN</cp:lastModifiedBy>
  <cp:revision>2</cp:revision>
  <dcterms:created xsi:type="dcterms:W3CDTF">2019-12-04T11:35:00Z</dcterms:created>
  <dcterms:modified xsi:type="dcterms:W3CDTF">2019-12-04T11:35:00Z</dcterms:modified>
</cp:coreProperties>
</file>